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bookmarkStart w:id="0" w:name="_GoBack"/>
      <w:bookmarkEnd w:id="0"/>
      <w:r w:rsidRPr="008D7AEE">
        <w:rPr>
          <w:rFonts w:ascii="Times New Roman" w:eastAsia="Gulim" w:hAnsi="Times New Roman"/>
          <w:sz w:val="28"/>
          <w:szCs w:val="28"/>
        </w:rPr>
        <w:t xml:space="preserve">Перечислите задачи «Цифровой </w:t>
      </w:r>
      <w:proofErr w:type="spellStart"/>
      <w:r w:rsidRPr="008D7AEE">
        <w:rPr>
          <w:rFonts w:ascii="Times New Roman" w:eastAsia="Gulim" w:hAnsi="Times New Roman"/>
          <w:sz w:val="28"/>
          <w:szCs w:val="28"/>
        </w:rPr>
        <w:t>схемотехники</w:t>
      </w:r>
      <w:proofErr w:type="spellEnd"/>
      <w:r w:rsidRPr="008D7AEE">
        <w:rPr>
          <w:rFonts w:ascii="Times New Roman" w:eastAsia="Gulim" w:hAnsi="Times New Roman"/>
          <w:sz w:val="28"/>
          <w:szCs w:val="28"/>
        </w:rPr>
        <w:t xml:space="preserve">». История развития цифровой </w:t>
      </w:r>
      <w:proofErr w:type="spellStart"/>
      <w:r w:rsidRPr="008D7AEE">
        <w:rPr>
          <w:rFonts w:ascii="Times New Roman" w:eastAsia="Gulim" w:hAnsi="Times New Roman"/>
          <w:sz w:val="28"/>
          <w:szCs w:val="28"/>
        </w:rPr>
        <w:t>схемотехники</w:t>
      </w:r>
      <w:proofErr w:type="spellEnd"/>
      <w:r w:rsidRPr="008D7AEE">
        <w:rPr>
          <w:rFonts w:ascii="Times New Roman" w:eastAsia="Gulim" w:hAnsi="Times New Roman"/>
          <w:sz w:val="28"/>
          <w:szCs w:val="28"/>
        </w:rPr>
        <w:t>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Определение системы счисления, её виды (позиционная, непозиционная системы счисления). Используемые символы в различных системах счисления.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Применение правил перевода целых и дробных чисел из одной системы счисления в другую.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Определение основных понятий алгебры – логики: высказывание, аргумент, логический уровень, логический элемент, переключательная функция.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Демонстрация различных форм представления переключательных функций: словарная, табличная, алгебраическая (формульная), графическая.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Исследование переключательных функций одной переменной: УГО, таблица истинности, формулы, определение функции.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Исследование переключательных функций двух переменных: УГО, таблица истинности, формулы, определение функции.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Формулирование основных тождеств и законов алгебры – логики: переместительный, сочетательный, распределительный, закон двойного отрицания, закон инверсии.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Исследование дизъюнктивной и конъюнктивной нормальных форм представления функций алгебры – логики. СДНФ, СКНФ.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Минимизация логических функций с использованием тождеств алгебры – логики.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Минимизация логических функций с использованием карт Карно.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Анализ и синтез комбинационных схем, базис. Этапы построения схемы на элементах вычислительной техники.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Исследование общих свойств дешифраторов. Синтез линейного дешифратора.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Исследование общих свойств шифраторов. УГО. Синтез шифратора.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Исследование общих свойств мультиплексоров, УГО. Мультиплексное дерево.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 xml:space="preserve">Исследование общих свойств </w:t>
      </w:r>
      <w:proofErr w:type="spellStart"/>
      <w:r w:rsidRPr="008D7AEE">
        <w:rPr>
          <w:rFonts w:ascii="Times New Roman" w:eastAsia="Gulim" w:hAnsi="Times New Roman"/>
          <w:sz w:val="28"/>
          <w:szCs w:val="28"/>
        </w:rPr>
        <w:t>демультиплексоров</w:t>
      </w:r>
      <w:proofErr w:type="spellEnd"/>
      <w:r w:rsidRPr="008D7AEE">
        <w:rPr>
          <w:rFonts w:ascii="Times New Roman" w:eastAsia="Gulim" w:hAnsi="Times New Roman"/>
          <w:sz w:val="28"/>
          <w:szCs w:val="28"/>
        </w:rPr>
        <w:t>. УГО.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Исследование общих свойств сумматоров. Классификация сумматоров.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 xml:space="preserve"> Исследование общих свойств преобразователей кодов: назначение, УГО, виды.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lastRenderedPageBreak/>
        <w:t>Исследование общих свойств триггеров. Виды триггеров. Классификация триггеров.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 xml:space="preserve"> Принцип действия асинхронного </w:t>
      </w:r>
      <w:r w:rsidRPr="008D7AEE">
        <w:rPr>
          <w:rFonts w:ascii="Times New Roman" w:eastAsia="Gulim" w:hAnsi="Times New Roman"/>
          <w:sz w:val="28"/>
          <w:szCs w:val="28"/>
          <w:lang w:val="en-US"/>
        </w:rPr>
        <w:t>RS</w:t>
      </w:r>
      <w:r w:rsidRPr="008D7AEE">
        <w:rPr>
          <w:rFonts w:ascii="Times New Roman" w:eastAsia="Gulim" w:hAnsi="Times New Roman"/>
          <w:sz w:val="28"/>
          <w:szCs w:val="28"/>
        </w:rPr>
        <w:t xml:space="preserve"> – триггера, синхронного RS – триггера.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 xml:space="preserve">Принцип действия </w:t>
      </w:r>
      <w:r w:rsidRPr="008D7AEE">
        <w:rPr>
          <w:rFonts w:ascii="Times New Roman" w:eastAsia="Gulim" w:hAnsi="Times New Roman"/>
          <w:sz w:val="28"/>
          <w:szCs w:val="28"/>
          <w:lang w:val="en-US"/>
        </w:rPr>
        <w:t>JK</w:t>
      </w:r>
      <w:r w:rsidRPr="008D7AEE">
        <w:rPr>
          <w:rFonts w:ascii="Times New Roman" w:eastAsia="Gulim" w:hAnsi="Times New Roman"/>
          <w:sz w:val="28"/>
          <w:szCs w:val="28"/>
        </w:rPr>
        <w:t xml:space="preserve"> – триггера, </w:t>
      </w:r>
      <w:r w:rsidRPr="008D7AEE">
        <w:rPr>
          <w:rFonts w:ascii="Times New Roman" w:eastAsia="Gulim" w:hAnsi="Times New Roman"/>
          <w:sz w:val="28"/>
          <w:szCs w:val="28"/>
          <w:lang w:val="en-US"/>
        </w:rPr>
        <w:t>D</w:t>
      </w:r>
      <w:r w:rsidRPr="008D7AEE">
        <w:rPr>
          <w:rFonts w:ascii="Times New Roman" w:eastAsia="Gulim" w:hAnsi="Times New Roman"/>
          <w:sz w:val="28"/>
          <w:szCs w:val="28"/>
        </w:rPr>
        <w:t xml:space="preserve"> – триггера, Т – триггера.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Исследование общих свойств регистров. Классификация регистров.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Принцип действия параллельного, последовательного и реверсивного регистров.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 xml:space="preserve"> Исследование общих свойств счетчиков. Классификация счетчиков.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Принцип действия асинхронного и синхронного счетчиков.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Определение внутренней и внешней памяти. Классификация ЗУ.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 xml:space="preserve"> Классификация схем памяти. Характеристика статических запоминающих устройств.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 xml:space="preserve"> Описание построения запоминающих устройств: матричный и словарный принципы организации запоминающих устройств.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Описание видов программирования ПЗУ: ПЗУМ, ППЗУ, РПЗУ.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Описание основных этапов преобразования аналогового сигнала в цифровой. Понятие об аналоговом, цифровом и импульсных сигналах.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Принцип действия, основные параметры АЦП.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Принцип действия, основные параметры ЦАП.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Описание программируемых логических матриц, назначение ПЛМ.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Классификация, обозначение, основные параметры, маркировка резисторов.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Классификация, обозначение, основные параметры, маркировка конденсаторов.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Классификация, технологии изготовления полупроводниковых диодов.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Основные параметры, применение, маркировка полупроводниковых диодов.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Классификация, технологии изготовления полупроводниковых транзисторов.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Основные параметры, применение, маркировка полупроводниковых транзисторов.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Классификация, основные параметры, маркировка стабилитронов и тиристоров.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Классификация, основные параметры интегральных микросхем.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Маркировка и применение интегральных микросхем.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lastRenderedPageBreak/>
        <w:t>Конструкция, структура, основные параметры, маркировка светоизлучающих диодов, оптронов.</w:t>
      </w:r>
    </w:p>
    <w:p w:rsidR="00474375" w:rsidRPr="008D7AEE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Конструкция, структура, основные параметры, маркировка фотоэлектрических приборов.</w:t>
      </w:r>
    </w:p>
    <w:p w:rsidR="00474375" w:rsidRDefault="00474375" w:rsidP="00474375">
      <w:pPr>
        <w:numPr>
          <w:ilvl w:val="0"/>
          <w:numId w:val="1"/>
        </w:numPr>
        <w:tabs>
          <w:tab w:val="left" w:pos="635"/>
        </w:tabs>
        <w:spacing w:after="0"/>
        <w:jc w:val="both"/>
        <w:rPr>
          <w:rFonts w:ascii="Times New Roman" w:eastAsia="Gulim" w:hAnsi="Times New Roman"/>
          <w:sz w:val="28"/>
          <w:szCs w:val="28"/>
        </w:rPr>
      </w:pPr>
      <w:r w:rsidRPr="008D7AEE">
        <w:rPr>
          <w:rFonts w:ascii="Times New Roman" w:eastAsia="Gulim" w:hAnsi="Times New Roman"/>
          <w:sz w:val="28"/>
          <w:szCs w:val="28"/>
        </w:rPr>
        <w:t>Маркировка и особенности применения элементов оптоэлектроники.</w:t>
      </w:r>
    </w:p>
    <w:p w:rsidR="006919DF" w:rsidRDefault="006919DF"/>
    <w:sectPr w:rsidR="00691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0A52"/>
    <w:multiLevelType w:val="hybridMultilevel"/>
    <w:tmpl w:val="14347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75"/>
    <w:rsid w:val="00474375"/>
    <w:rsid w:val="005C1F65"/>
    <w:rsid w:val="0069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58770-F1C0-44FF-BEDF-A9A7ECAD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7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ECAF2-FB71-4895-A258-FC91179F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2020-09-18T17:26:00Z</dcterms:created>
  <dcterms:modified xsi:type="dcterms:W3CDTF">2020-09-18T17:26:00Z</dcterms:modified>
</cp:coreProperties>
</file>